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TASK: 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29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3690"/>
        <w:gridCol w:w="4425"/>
        <w:gridCol w:w="4275"/>
        <w:tblGridChange w:id="0">
          <w:tblGrid>
            <w:gridCol w:w="1905"/>
            <w:gridCol w:w="3690"/>
            <w:gridCol w:w="442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Achieved/Basic/Emerging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Merit/Proficient/Developed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Excellence/Advanced/Skilled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Practical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 to explain what a Freeze Frame, Mimed Action and Role on the Wall are.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Conventions, but sometimes laugh or move.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unable to suggest an extra convention to use in our performance.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but struggled to use facial expression, gesture or voice to show it.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clearly explain what a Freeze Frame, Mimed Action and Role on the Wall are.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suggest an appropriate, extra convention to use in our performance and identify how it could be used.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and will use either appropriate facial expression or gesture to show it.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am starting to develop my use of voice to match my character's feelings.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suggest an appropriate, extra convention to use in our performance and identify how it could be used/impact.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can identify how my character feels and will use  appropriate  facial expressions and gestures together, to show it.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 can use my voice in a way that also helps show how my character is feeling.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Developing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was able to think of ideas from the stimuli given.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often let others make the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think of  ideas that related to the stimuli given and starting to develop appropriate detail..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decide on ideas and I’m starting to blend or extend them, with other people’s.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worked with others to make decisions.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could decide on ideas and blend or extend them, with other people’s.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worked with others to make decisions, sometimes taking the lead.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  <w:t xml:space="preserve">  Level 5 AME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7896225</wp:posOffset>
          </wp:positionH>
          <wp:positionV relativeFrom="paragraph">
            <wp:posOffset>-314324</wp:posOffset>
          </wp:positionV>
          <wp:extent cx="909638" cy="30558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3055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